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1B35DA">
        <w:rPr>
          <w:rFonts w:ascii="Arial" w:hAnsi="Arial" w:cs="Arial"/>
          <w:sz w:val="20"/>
          <w:szCs w:val="20"/>
          <w:lang w:val="en-CA"/>
        </w:rPr>
        <w:fldChar w:fldCharType="begin"/>
      </w:r>
      <w:r w:rsidRPr="001B35DA">
        <w:rPr>
          <w:rFonts w:ascii="Arial" w:hAnsi="Arial" w:cs="Arial"/>
          <w:sz w:val="20"/>
          <w:szCs w:val="20"/>
          <w:lang w:val="en-CA"/>
        </w:rPr>
        <w:instrText xml:space="preserve"> SEQ CHAPTER \h \r 1</w:instrText>
      </w:r>
      <w:r w:rsidRPr="001B35DA">
        <w:rPr>
          <w:rFonts w:ascii="Arial" w:hAnsi="Arial" w:cs="Arial"/>
          <w:sz w:val="20"/>
          <w:szCs w:val="20"/>
          <w:lang w:val="en-CA"/>
        </w:rPr>
        <w:fldChar w:fldCharType="end"/>
      </w:r>
      <w:r w:rsidRPr="001B35DA">
        <w:rPr>
          <w:rFonts w:ascii="Arial" w:hAnsi="Arial" w:cs="Arial"/>
          <w:b/>
          <w:bCs/>
          <w:sz w:val="20"/>
          <w:szCs w:val="20"/>
        </w:rPr>
        <w:t>SECTION 08 5671</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1B2DB9" w:rsidRPr="001B35DA" w:rsidRDefault="00B336A5">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sidRPr="001B35DA">
        <w:rPr>
          <w:rFonts w:ascii="Arial" w:hAnsi="Arial" w:cs="Arial"/>
          <w:b/>
          <w:bCs/>
          <w:sz w:val="20"/>
          <w:szCs w:val="20"/>
        </w:rPr>
        <w:t>BULLET-RESISTANT STEEL WINDOWS</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1B35DA">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B35DA">
        <w:rPr>
          <w:rFonts w:ascii="Arial" w:hAnsi="Arial" w:cs="Arial"/>
          <w:color w:val="0000FF"/>
          <w:sz w:val="20"/>
          <w:szCs w:val="20"/>
        </w:rPr>
        <w:t>Microsoft Word 2013: Display the FILE tab on the ribbon, click OPTIONS, then DISPLAY. Select of deselect HIDDEN TEXT.</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B35DA">
        <w:rPr>
          <w:rFonts w:ascii="Arial" w:hAnsi="Arial" w:cs="Arial"/>
          <w:color w:val="0000FF"/>
          <w:sz w:val="20"/>
          <w:szCs w:val="20"/>
        </w:rPr>
        <w:t>Microsoft Word 2010: Display the FILE tab on the ribbon, click OPTIONS, then on left menu click on DISPLAY. Under ALWAYS SHOW THESE select or deselect HIDDEN TEXT.</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B35DA">
        <w:rPr>
          <w:rFonts w:ascii="Arial" w:hAnsi="Arial" w:cs="Arial"/>
          <w:color w:val="0000FF"/>
          <w:sz w:val="20"/>
          <w:szCs w:val="20"/>
        </w:rPr>
        <w:t>Corel WordPerfect: From the pull-down menus select VIEW, then select or deselect the HIDDEN TEXT option.</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This master specification section has been prepared by ARMORTEX for use in the preparation of a project specification section covering bullet-resistant steel window assemblies, fixed or operable type. ARMORTEX fixed steel window assemblies are available in Ballistic Levels 1 through 8.</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The following should be noted in using this specification:</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ab/>
      </w:r>
      <w:r w:rsidRPr="001B35DA">
        <w:rPr>
          <w:rFonts w:ascii="Arial" w:hAnsi="Arial" w:cs="Arial"/>
          <w:vanish/>
          <w:color w:val="0000FF"/>
          <w:sz w:val="20"/>
          <w:szCs w:val="20"/>
        </w:rPr>
        <w:tab/>
        <w:t>(</w:t>
      </w:r>
      <w:hyperlink r:id="rId7" w:history="1">
        <w:r w:rsidRPr="001B35DA">
          <w:rPr>
            <w:rStyle w:val="SYSHYPERTEXT"/>
            <w:rFonts w:ascii="Arial" w:hAnsi="Arial" w:cs="Arial"/>
            <w:vanish/>
            <w:sz w:val="20"/>
            <w:szCs w:val="20"/>
          </w:rPr>
          <w:t>www.spexplus.net</w:t>
        </w:r>
      </w:hyperlink>
      <w:r w:rsidRPr="001B35DA">
        <w:rPr>
          <w:rFonts w:ascii="Arial" w:hAnsi="Arial" w:cs="Arial"/>
          <w:vanish/>
          <w:color w:val="0000FF"/>
          <w:sz w:val="20"/>
          <w:szCs w:val="20"/>
        </w:rPr>
        <w:t>)</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Optional text requiring a selection by the user is enclosed within brackets, e.g.: "Section [09 0000.] [_____.]"</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Items requiring user input are enclosed within brackets, e.g.: "Section [_____ - ________]."</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Optional paragraphs are separated by an "OR" statement, e.g.:</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color w:val="0000FF"/>
          <w:sz w:val="20"/>
          <w:szCs w:val="20"/>
        </w:rPr>
      </w:pPr>
      <w:r w:rsidRPr="001B35DA">
        <w:rPr>
          <w:rFonts w:ascii="Arial" w:hAnsi="Arial" w:cs="Arial"/>
          <w:vanish/>
          <w:color w:val="0000FF"/>
          <w:sz w:val="20"/>
          <w:szCs w:val="20"/>
        </w:rPr>
        <w:t>**** OR ****</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8000"/>
          <w:sz w:val="20"/>
          <w:szCs w:val="20"/>
        </w:rPr>
      </w:pPr>
      <w:r w:rsidRPr="001B35DA">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1B35DA">
          <w:rPr>
            <w:rStyle w:val="SYSHYPERTEXT"/>
            <w:rFonts w:ascii="Arial" w:hAnsi="Arial" w:cs="Arial"/>
            <w:vanish/>
            <w:color w:val="008000"/>
            <w:sz w:val="20"/>
            <w:szCs w:val="20"/>
            <w:u w:val="none"/>
          </w:rPr>
          <w:t>www.usgbc.org</w:t>
        </w:r>
      </w:hyperlink>
      <w:r w:rsidRPr="001B35DA">
        <w:rPr>
          <w:rFonts w:ascii="Arial" w:hAnsi="Arial" w:cs="Arial"/>
          <w:vanish/>
          <w:color w:val="008000"/>
          <w:sz w:val="20"/>
          <w:szCs w:val="20"/>
        </w:rPr>
        <w:t>.</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 xml:space="preserve">For assistance on the use of the products in this section, contact ARMORTEX by calling 800-880-8306, by email at </w:t>
      </w:r>
      <w:hyperlink r:id="rId9" w:history="1">
        <w:r w:rsidRPr="001B35DA">
          <w:rPr>
            <w:rStyle w:val="SYSHYPERTEXT"/>
            <w:rFonts w:ascii="Arial" w:hAnsi="Arial" w:cs="Arial"/>
            <w:vanish/>
            <w:sz w:val="20"/>
            <w:szCs w:val="20"/>
          </w:rPr>
          <w:t>info@armortex.com</w:t>
        </w:r>
      </w:hyperlink>
      <w:r w:rsidRPr="001B35DA">
        <w:rPr>
          <w:rFonts w:ascii="Arial" w:hAnsi="Arial" w:cs="Arial"/>
          <w:vanish/>
          <w:color w:val="0000FF"/>
          <w:sz w:val="20"/>
          <w:szCs w:val="20"/>
        </w:rPr>
        <w:t xml:space="preserve">, or visit their website at </w:t>
      </w:r>
      <w:hyperlink r:id="rId10" w:history="1">
        <w:r w:rsidRPr="001B35DA">
          <w:rPr>
            <w:rStyle w:val="SYSHYPERTEXT"/>
            <w:rFonts w:ascii="Arial" w:hAnsi="Arial" w:cs="Arial"/>
            <w:vanish/>
            <w:sz w:val="20"/>
            <w:szCs w:val="20"/>
          </w:rPr>
          <w:t>www.armortex.com</w:t>
        </w:r>
      </w:hyperlink>
      <w:r w:rsidRPr="001B35DA">
        <w:rPr>
          <w:rFonts w:ascii="Arial" w:hAnsi="Arial" w:cs="Arial"/>
          <w:vanish/>
          <w:color w:val="0000FF"/>
          <w:sz w:val="20"/>
          <w:szCs w:val="20"/>
        </w:rPr>
        <w:t>.</w:t>
      </w:r>
    </w:p>
    <w:p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sz w:val="20"/>
          <w:szCs w:val="20"/>
        </w:rPr>
      </w:pPr>
    </w:p>
    <w:p w:rsidR="001B2DB9" w:rsidRPr="001B35DA" w:rsidRDefault="00B336A5" w:rsidP="00EE16C6">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1B35DA">
        <w:rPr>
          <w:rFonts w:ascii="Arial" w:hAnsi="Arial" w:cs="Arial"/>
          <w:b/>
          <w:bCs/>
          <w:sz w:val="20"/>
          <w:szCs w:val="20"/>
        </w:rPr>
        <w:t>GENERAL</w:t>
      </w:r>
    </w:p>
    <w:p w:rsidR="001B2DB9" w:rsidRPr="001B35DA" w:rsidRDefault="001B2DB9">
      <w:pPr>
        <w:widowControl/>
        <w:spacing w:line="2" w:lineRule="exact"/>
        <w:rPr>
          <w:rFonts w:ascii="Arial" w:hAnsi="Arial" w:cs="Arial"/>
          <w:sz w:val="20"/>
          <w:szCs w:val="20"/>
        </w:rPr>
      </w:pP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SUMMARY</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Edit the following paragraphs to include only those items specified in this section.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Section Includes:</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Bullet-resistant [fixed] [operable] steel window assemblies.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Coordinate the following paragraphs with other sections in the project manual.</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Related Sections:</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Division 01: Administrative, procedural, and temporary work requirements.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REFERENCES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sectPr w:rsidR="001B2DB9" w:rsidRPr="001B35DA" w:rsidSect="00DF3615">
          <w:footerReference w:type="even" r:id="rId11"/>
          <w:footerReference w:type="default" r:id="rId12"/>
          <w:footerReference w:type="first" r:id="rId13"/>
          <w:type w:val="continuous"/>
          <w:pgSz w:w="12240" w:h="15840"/>
          <w:pgMar w:top="720" w:right="1080" w:bottom="720" w:left="1080" w:header="1440" w:footer="720" w:gutter="0"/>
          <w:cols w:space="720"/>
        </w:sectPr>
      </w:pPr>
      <w:bookmarkStart w:id="0" w:name="_GoBack"/>
      <w:bookmarkEnd w:id="0"/>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lastRenderedPageBreak/>
        <w:t xml:space="preserve">American Welding Society (AWS) </w:t>
      </w:r>
      <w:r w:rsidRPr="001B35DA">
        <w:rPr>
          <w:rFonts w:ascii="Arial" w:hAnsi="Arial" w:cs="Arial"/>
          <w:vanish/>
          <w:sz w:val="20"/>
          <w:szCs w:val="20"/>
        </w:rPr>
        <w:t>(</w:t>
      </w:r>
      <w:hyperlink r:id="rId14" w:history="1">
        <w:r w:rsidRPr="001B35DA">
          <w:rPr>
            <w:rStyle w:val="SYSHYPERTEXT"/>
            <w:rFonts w:ascii="Arial" w:hAnsi="Arial" w:cs="Arial"/>
            <w:vanish/>
            <w:color w:val="auto"/>
            <w:sz w:val="20"/>
            <w:szCs w:val="20"/>
            <w:u w:val="none"/>
          </w:rPr>
          <w:t>www.aws.org</w:t>
        </w:r>
      </w:hyperlink>
      <w:r w:rsidRPr="001B35DA">
        <w:rPr>
          <w:rFonts w:ascii="Arial" w:hAnsi="Arial" w:cs="Arial"/>
          <w:vanish/>
          <w:sz w:val="20"/>
          <w:szCs w:val="20"/>
        </w:rPr>
        <w:t xml:space="preserve">) </w:t>
      </w:r>
      <w:r w:rsidRPr="001B35DA">
        <w:rPr>
          <w:rFonts w:ascii="Arial" w:hAnsi="Arial" w:cs="Arial"/>
          <w:sz w:val="20"/>
          <w:szCs w:val="20"/>
        </w:rPr>
        <w:t>D1.3/D1.3M - Structural Welding Code - Sheet Steel.</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ASTM International (ASTM) </w:t>
      </w:r>
      <w:r w:rsidRPr="001B35DA">
        <w:rPr>
          <w:rFonts w:ascii="Arial" w:hAnsi="Arial" w:cs="Arial"/>
          <w:vanish/>
          <w:sz w:val="20"/>
          <w:szCs w:val="20"/>
        </w:rPr>
        <w:t>(</w:t>
      </w:r>
      <w:hyperlink r:id="rId15" w:history="1">
        <w:r w:rsidRPr="001B35DA">
          <w:rPr>
            <w:rStyle w:val="SYSHYPERTEXT"/>
            <w:rFonts w:ascii="Arial" w:hAnsi="Arial" w:cs="Arial"/>
            <w:vanish/>
            <w:color w:val="auto"/>
            <w:sz w:val="20"/>
            <w:szCs w:val="20"/>
            <w:u w:val="none"/>
          </w:rPr>
          <w:t>www.astm.org</w:t>
        </w:r>
      </w:hyperlink>
      <w:r w:rsidRPr="001B35DA">
        <w:rPr>
          <w:rFonts w:ascii="Arial" w:hAnsi="Arial" w:cs="Arial"/>
          <w:vanish/>
          <w:sz w:val="20"/>
          <w:szCs w:val="20"/>
        </w:rPr>
        <w:t xml:space="preserve">) </w:t>
      </w:r>
      <w:r w:rsidRPr="001B35DA">
        <w:rPr>
          <w:rFonts w:ascii="Arial" w:hAnsi="Arial" w:cs="Arial"/>
          <w:sz w:val="20"/>
          <w:szCs w:val="20"/>
        </w:rPr>
        <w:t>A1008/A1008M - Standard Specification for Steel, Sheet, Cold-Rolled, Carbon, Structural, High-Strength Low-Alloy and High-Strength Low-Alloy with Improved Formability.</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Underwriters Laboratories (UL) </w:t>
      </w:r>
      <w:hyperlink r:id="rId16" w:history="1">
        <w:r w:rsidRPr="001B35DA">
          <w:rPr>
            <w:rStyle w:val="SYSHYPERTEXT"/>
            <w:rFonts w:ascii="Arial" w:hAnsi="Arial" w:cs="Arial"/>
            <w:vanish/>
            <w:color w:val="auto"/>
            <w:sz w:val="20"/>
            <w:szCs w:val="20"/>
            <w:u w:val="none"/>
          </w:rPr>
          <w:t>(www.ul.com</w:t>
        </w:r>
      </w:hyperlink>
      <w:r w:rsidRPr="001B35DA">
        <w:rPr>
          <w:rFonts w:ascii="Arial" w:hAnsi="Arial" w:cs="Arial"/>
          <w:vanish/>
          <w:sz w:val="20"/>
          <w:szCs w:val="20"/>
        </w:rPr>
        <w:t xml:space="preserve">) </w:t>
      </w:r>
      <w:r w:rsidRPr="001B35DA">
        <w:rPr>
          <w:rFonts w:ascii="Arial" w:hAnsi="Arial" w:cs="Arial"/>
          <w:sz w:val="20"/>
          <w:szCs w:val="20"/>
        </w:rPr>
        <w:t>752 - Bullet Resisting Equipment.</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SYSTEM DESCRIPTION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Design Requirements: Provide window frames of “non-ricochet type" intended to permit capture and retention of attacking projectile, lessening potential of random injury or lateral penetration.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SUBMITTALS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submission of shop drawings, product data, and samples for the Architect's review.</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Submittals for Review:</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Shop Drawings: Include window profiles and sizes, type and spacing of frame anchors, reinforcement size and locations, details of joints and connections, and welding details.</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Product Data: Include product description for window assemblies including bullet-resistant ratings.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is a powder coated finish is desired. Edit to suit project requirements.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Samples: [2 x 2] [__ x __] inch coating samples [showing available colors.] [</w:t>
      </w:r>
      <w:proofErr w:type="gramStart"/>
      <w:r w:rsidRPr="001B35DA">
        <w:rPr>
          <w:rFonts w:ascii="Arial" w:hAnsi="Arial" w:cs="Arial"/>
          <w:sz w:val="20"/>
          <w:szCs w:val="20"/>
        </w:rPr>
        <w:t>in</w:t>
      </w:r>
      <w:proofErr w:type="gramEnd"/>
      <w:r w:rsidRPr="001B35DA">
        <w:rPr>
          <w:rFonts w:ascii="Arial" w:hAnsi="Arial" w:cs="Arial"/>
          <w:sz w:val="20"/>
          <w:szCs w:val="20"/>
        </w:rPr>
        <w:t xml:space="preserve"> specified color.]</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submission of sustainable design submittals.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8000"/>
          <w:sz w:val="20"/>
          <w:szCs w:val="20"/>
        </w:rPr>
      </w:pPr>
      <w:r w:rsidRPr="001B35DA">
        <w:rPr>
          <w:rFonts w:ascii="Arial" w:hAnsi="Arial" w:cs="Arial"/>
          <w:color w:val="008000"/>
          <w:sz w:val="20"/>
          <w:szCs w:val="20"/>
        </w:rPr>
        <w:t>Sustainable Design Submittals:</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B35DA">
        <w:rPr>
          <w:rFonts w:ascii="Arial" w:hAnsi="Arial" w:cs="Arial"/>
          <w:color w:val="008000"/>
          <w:sz w:val="20"/>
          <w:szCs w:val="20"/>
        </w:rPr>
        <w:t>Recycled Content: Certify percentages of post-consumer and pre-consumer recycled content.</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B35DA">
        <w:rPr>
          <w:rFonts w:ascii="Arial" w:hAnsi="Arial" w:cs="Arial"/>
          <w:color w:val="008000"/>
          <w:sz w:val="20"/>
          <w:szCs w:val="20"/>
        </w:rPr>
        <w:t>Regional Materials: Indicate cost of products harvested, extracted, recovered, or manufactured within 500 mile radius of Project site.</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submission of closeout submittals on cleaning of glazing materials.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Closeout Submittals:</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Maintenance Data: Include instructions for cleaning of glazed panels.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QUALITY ASSURANCE</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Edit the following to suit project requirements; delete if this information is indicated on Drawings.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Fixed Window Assemblies: Ballistic Level [1,] [2,] [3,] [4,] [5,] [6,] [7,] [8,] tested to UL 752.</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DELIVERY, STORAGE AND HANDLING</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Store window assemblies upright in protected, dry area, off ground or floor, with at least 1/4 inch space between individual units.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Do not cover with </w:t>
      </w:r>
      <w:proofErr w:type="spellStart"/>
      <w:r w:rsidRPr="001B35DA">
        <w:rPr>
          <w:rFonts w:ascii="Arial" w:hAnsi="Arial" w:cs="Arial"/>
          <w:sz w:val="20"/>
          <w:szCs w:val="20"/>
        </w:rPr>
        <w:t>non vented</w:t>
      </w:r>
      <w:proofErr w:type="spellEnd"/>
      <w:r w:rsidRPr="001B35DA">
        <w:rPr>
          <w:rFonts w:ascii="Arial" w:hAnsi="Arial" w:cs="Arial"/>
          <w:sz w:val="20"/>
          <w:szCs w:val="20"/>
        </w:rPr>
        <w:t xml:space="preserve"> coverings that create excessive humidity. </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Remove wet coverings immediately.</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1B35DA">
        <w:rPr>
          <w:rFonts w:ascii="Arial" w:hAnsi="Arial" w:cs="Arial"/>
          <w:b/>
          <w:bCs/>
          <w:sz w:val="20"/>
          <w:szCs w:val="20"/>
        </w:rPr>
        <w:t>PRODUCTS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MANUFACTURERS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Contract Documents are based on products by ARMORTEX, 5926 Corridor Parkway, Schertz, Texas, 800-880-8306, </w:t>
      </w:r>
      <w:hyperlink r:id="rId17" w:history="1">
        <w:r w:rsidRPr="001B35DA">
          <w:rPr>
            <w:rStyle w:val="SYSHYPERTEXT"/>
            <w:rFonts w:ascii="Arial" w:hAnsi="Arial" w:cs="Arial"/>
            <w:color w:val="auto"/>
            <w:sz w:val="20"/>
            <w:szCs w:val="20"/>
            <w:u w:val="none"/>
          </w:rPr>
          <w:t>www.armortex.com</w:t>
        </w:r>
      </w:hyperlink>
      <w:r w:rsidRPr="001B35DA">
        <w:rPr>
          <w:rFonts w:ascii="Arial" w:hAnsi="Arial" w:cs="Arial"/>
          <w:sz w:val="20"/>
          <w:szCs w:val="20"/>
        </w:rPr>
        <w:t>.</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Edit the following to indicate whether or not substitutions will be permitted for the products in this section.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Substitutions: [Under provisions of Division 01.] [Not permitted.]</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 xml:space="preserve">MATERIALS </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Steel Sheet: </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ASTM A1008/1008M, cold rolled, free from scale, pitting, coil breaks, and other surface defects.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Insert percent of recycled content for steel in the following paragraph; contact ARMORTEX to verify current recycled content availability.</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B35DA">
        <w:rPr>
          <w:rFonts w:ascii="Arial" w:hAnsi="Arial" w:cs="Arial"/>
          <w:color w:val="008000"/>
          <w:sz w:val="20"/>
          <w:szCs w:val="20"/>
        </w:rPr>
        <w:t xml:space="preserve">Recycled content: Minimum [__] percent, with minimum [__] percent classified as </w:t>
      </w:r>
      <w:proofErr w:type="spellStart"/>
      <w:r w:rsidRPr="001B35DA">
        <w:rPr>
          <w:rFonts w:ascii="Arial" w:hAnsi="Arial" w:cs="Arial"/>
          <w:color w:val="008000"/>
          <w:sz w:val="20"/>
          <w:szCs w:val="20"/>
        </w:rPr>
        <w:t>post consumer</w:t>
      </w:r>
      <w:proofErr w:type="spellEnd"/>
      <w:r w:rsidRPr="001B35DA">
        <w:rPr>
          <w:rFonts w:ascii="Arial" w:hAnsi="Arial" w:cs="Arial"/>
          <w:color w:val="008000"/>
          <w:sz w:val="20"/>
          <w:szCs w:val="20"/>
        </w:rPr>
        <w:t>.</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r w:rsidRPr="001B35DA">
        <w:rPr>
          <w:rFonts w:ascii="Arial" w:hAnsi="Arial" w:cs="Arial"/>
          <w:vanish/>
          <w:color w:val="000000" w:themeColor="text1"/>
          <w:sz w:val="20"/>
          <w:szCs w:val="20"/>
        </w:rPr>
        <w:t>Include the following for Ballistic Level 1 through 3 windows.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1B35DA">
        <w:rPr>
          <w:rFonts w:ascii="Arial" w:hAnsi="Arial" w:cs="Arial"/>
          <w:color w:val="000000" w:themeColor="text1"/>
          <w:sz w:val="20"/>
          <w:szCs w:val="20"/>
        </w:rPr>
        <w:t>Bullet-Resistant Composite: UL Listed Bullet Resistant Composite by ARMORTEX, of UL Ballistic Level equal to specified frame ballistic protection level.</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Ballistic Level 4 through 8 windows.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8000"/>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1B35DA">
        <w:rPr>
          <w:rFonts w:ascii="Arial" w:hAnsi="Arial" w:cs="Arial"/>
          <w:color w:val="000000" w:themeColor="text1"/>
          <w:sz w:val="20"/>
          <w:szCs w:val="20"/>
        </w:rPr>
        <w:t>Ballistic Steel: Hi-Hard Ballistic Steel, of UL Ballistic Level equal to specified frame ballistic protection level.</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Glazing: UL Listed [laminated glass.] [</w:t>
      </w:r>
      <w:proofErr w:type="gramStart"/>
      <w:r w:rsidRPr="001B35DA">
        <w:rPr>
          <w:rFonts w:ascii="Arial" w:hAnsi="Arial" w:cs="Arial"/>
          <w:sz w:val="20"/>
          <w:szCs w:val="20"/>
        </w:rPr>
        <w:t>glass/polycarbonate</w:t>
      </w:r>
      <w:proofErr w:type="gramEnd"/>
      <w:r w:rsidRPr="001B35DA">
        <w:rPr>
          <w:rFonts w:ascii="Arial" w:hAnsi="Arial" w:cs="Arial"/>
          <w:sz w:val="20"/>
          <w:szCs w:val="20"/>
        </w:rPr>
        <w:t xml:space="preserve"> composite.] [Glass-clad polycarbonate.] [Multi-ply polycarbonate.] [Acrylic polycarbonate composite.] [_____.]</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FABRICATION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Frames: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r w:rsidRPr="001B35DA">
        <w:rPr>
          <w:rFonts w:ascii="Arial" w:hAnsi="Arial" w:cs="Arial"/>
          <w:vanish/>
          <w:color w:val="0000FF"/>
          <w:sz w:val="20"/>
          <w:szCs w:val="20"/>
        </w:rPr>
        <w:t xml:space="preserve">Edit the following to suit project requirements. Windows requiring Ballistic Level 1 through 3 use bullet-resistant composite cores; Ballistic Level 4 </w:t>
      </w:r>
      <w:proofErr w:type="spellStart"/>
      <w:r w:rsidRPr="001B35DA">
        <w:rPr>
          <w:rFonts w:ascii="Arial" w:hAnsi="Arial" w:cs="Arial"/>
          <w:vanish/>
          <w:color w:val="0000FF"/>
          <w:sz w:val="20"/>
          <w:szCs w:val="20"/>
        </w:rPr>
        <w:t>though</w:t>
      </w:r>
      <w:proofErr w:type="spellEnd"/>
      <w:r w:rsidRPr="001B35DA">
        <w:rPr>
          <w:rFonts w:ascii="Arial" w:hAnsi="Arial" w:cs="Arial"/>
          <w:vanish/>
          <w:color w:val="0000FF"/>
          <w:sz w:val="20"/>
          <w:szCs w:val="20"/>
        </w:rPr>
        <w:t xml:space="preserve"> 8 require ballistic steel cores.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Fabricate from 16 gage steel lined with [bullet-resistant composite.] [</w:t>
      </w:r>
      <w:proofErr w:type="gramStart"/>
      <w:r w:rsidRPr="001B35DA">
        <w:rPr>
          <w:rFonts w:ascii="Arial" w:hAnsi="Arial" w:cs="Arial"/>
          <w:sz w:val="20"/>
          <w:szCs w:val="20"/>
        </w:rPr>
        <w:t>ballistic</w:t>
      </w:r>
      <w:proofErr w:type="gramEnd"/>
      <w:r w:rsidRPr="001B35DA">
        <w:rPr>
          <w:rFonts w:ascii="Arial" w:hAnsi="Arial" w:cs="Arial"/>
          <w:sz w:val="20"/>
          <w:szCs w:val="20"/>
        </w:rPr>
        <w:t xml:space="preserve"> steel.] </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Bullet-resistant rating equivalent to or greater than glazing.</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Weld frame corners; knock-down and mechanical joints not acceptable.</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 xml:space="preserve">Frame modules capable of being joined with other frame modules to form continuous line.  </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 xml:space="preserve">Replacement of glazing from secure side of window, not requiring removal of frame from opening. </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operable windows.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Operable Units: </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 xml:space="preserve">Hinge vertically utilizing full-length continuous hinge. </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Sash secured by keyed positive locking latch. Where multiple operable windows occur, key all locks alike.</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Welding: In accordance with AWS D1.3/D1.3M. Grind exposed welds flush and smooth. </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Finish work neat and free from defects.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lastRenderedPageBreak/>
        <w:t>Allowable Tolerances: Plus or minus 1/16 inch for frame opening width, height, diagonal dimensions, and overall width and height (outside to outside).</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FINISHES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a standard prime painted finish.</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Steel: </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Dress tool marks and surface imperfections to smooth surfaces.</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Clean and chemically treat steel surfaces.</w:t>
      </w: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Apply manufacturer's standard rust inhibiting gray primer paint.</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1B35DA">
        <w:rPr>
          <w:rFonts w:ascii="Arial" w:hAnsi="Arial" w:cs="Arial"/>
          <w:sz w:val="20"/>
          <w:szCs w:val="20"/>
        </w:rPr>
        <w:t>**** OR ****</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an optional powder coated finish.</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Apply manufacturer’s standard polyester powder coat, sprayed and baked, [____] [custom] color [to be selected from manufacturer’s full color range].</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Stainless Steel: No. 3 brushed finish.</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1B35DA">
        <w:rPr>
          <w:rFonts w:ascii="Arial" w:hAnsi="Arial" w:cs="Arial"/>
          <w:b/>
          <w:bCs/>
          <w:sz w:val="20"/>
          <w:szCs w:val="20"/>
        </w:rPr>
        <w:t>EXECUTION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INSTALLATION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Install window assemblies in accordance with manufacturer’s instructions and approved Shop Drawings.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Set plumb</w:t>
      </w:r>
      <w:r w:rsidR="00A54719">
        <w:rPr>
          <w:rFonts w:ascii="Arial" w:hAnsi="Arial" w:cs="Arial"/>
          <w:sz w:val="20"/>
          <w:szCs w:val="20"/>
        </w:rPr>
        <w:t>, square,</w:t>
      </w:r>
      <w:r w:rsidRPr="001B35DA">
        <w:rPr>
          <w:rFonts w:ascii="Arial" w:hAnsi="Arial" w:cs="Arial"/>
          <w:sz w:val="20"/>
          <w:szCs w:val="20"/>
        </w:rPr>
        <w:t xml:space="preserve"> and level.</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Secure to adjacent construction using fastener type best suited to application.</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Field alterations to window assemblies not permitted unless approved in advance by manufacturer and Architect.</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ADJUSTING</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Edit the following to suit project requirements.</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Touch up minor scratches and abrasions in [primer paint] [finish coat] to match factory finish.</w:t>
      </w: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B336A5"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1B35DA">
        <w:rPr>
          <w:rFonts w:ascii="Arial" w:hAnsi="Arial" w:cs="Arial"/>
          <w:sz w:val="20"/>
          <w:szCs w:val="20"/>
        </w:rPr>
        <w:t>END OF SECTION</w:t>
      </w:r>
    </w:p>
    <w:sectPr w:rsidR="00B336A5" w:rsidRPr="001B35DA">
      <w:footerReference w:type="even" r:id="rId18"/>
      <w:footerReference w:type="default" r:id="rId19"/>
      <w:footerReference w:type="first" r:id="rId20"/>
      <w:type w:val="continuous"/>
      <w:pgSz w:w="12240" w:h="15840"/>
      <w:pgMar w:top="720" w:right="1080" w:bottom="810" w:left="1080" w:header="1440" w:footer="8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BD3" w:rsidRDefault="00A27BD3">
      <w:r>
        <w:separator/>
      </w:r>
    </w:p>
  </w:endnote>
  <w:endnote w:type="continuationSeparator" w:id="0">
    <w:p w:rsidR="00A27BD3" w:rsidRDefault="00A2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B9" w:rsidRDefault="001B2DB9">
    <w:pPr>
      <w:widowControl/>
    </w:pPr>
  </w:p>
  <w:p w:rsidR="001B2DB9" w:rsidRDefault="00B336A5">
    <w:pPr>
      <w:widowControl/>
      <w:tabs>
        <w:tab w:val="center" w:pos="5040"/>
        <w:tab w:val="right" w:pos="10078"/>
      </w:tabs>
      <w:rPr>
        <w:rFonts w:ascii="Arial" w:hAnsi="Arial" w:cs="Arial"/>
        <w:sz w:val="20"/>
        <w:szCs w:val="20"/>
      </w:rPr>
    </w:pPr>
    <w:r>
      <w:rPr>
        <w:rFonts w:ascii="Arial" w:hAnsi="Arial" w:cs="Arial"/>
        <w:sz w:val="20"/>
        <w:szCs w:val="20"/>
      </w:rPr>
      <w:t>Bullet-Resistant Steel Windows</w:t>
    </w:r>
    <w:r>
      <w:rPr>
        <w:rFonts w:ascii="Arial" w:hAnsi="Arial" w:cs="Arial"/>
        <w:sz w:val="20"/>
        <w:szCs w:val="20"/>
      </w:rPr>
      <w:tab/>
      <w:t>08 5671-</w:t>
    </w:r>
    <w:r>
      <w:rPr>
        <w:rFonts w:ascii="Arial" w:hAnsi="Arial" w:cs="Arial"/>
        <w:sz w:val="20"/>
        <w:szCs w:val="20"/>
      </w:rPr>
      <w:pgNum/>
    </w:r>
    <w:r>
      <w:rPr>
        <w:rFonts w:ascii="Arial" w:hAnsi="Arial" w:cs="Arial"/>
        <w:sz w:val="20"/>
        <w:szCs w:val="20"/>
      </w:rPr>
      <w:tab/>
      <w:t>ARMORTEX</w:t>
    </w:r>
  </w:p>
  <w:p w:rsidR="001B2DB9" w:rsidRDefault="00A54719">
    <w:pPr>
      <w:widowControl/>
      <w:tabs>
        <w:tab w:val="right" w:pos="10078"/>
      </w:tabs>
      <w:rPr>
        <w:rFonts w:ascii="Arial" w:hAnsi="Arial" w:cs="Arial"/>
        <w:sz w:val="20"/>
        <w:szCs w:val="20"/>
      </w:rPr>
    </w:pPr>
    <w:r>
      <w:rPr>
        <w:rFonts w:ascii="Arial" w:hAnsi="Arial" w:cs="Arial"/>
        <w:sz w:val="20"/>
        <w:szCs w:val="20"/>
      </w:rPr>
      <w:tab/>
      <w:t>08/31</w:t>
    </w:r>
    <w:r w:rsidR="00B336A5">
      <w:rPr>
        <w:rFonts w:ascii="Arial" w:hAnsi="Arial" w:cs="Arial"/>
        <w:sz w:val="20"/>
        <w:szCs w:val="20"/>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B9" w:rsidRDefault="001B2DB9">
    <w:pPr>
      <w:widowControl/>
    </w:pPr>
  </w:p>
  <w:p w:rsidR="001B2DB9" w:rsidRDefault="00B336A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5671-</w:t>
    </w:r>
    <w:r>
      <w:rPr>
        <w:rFonts w:ascii="Arial" w:hAnsi="Arial" w:cs="Arial"/>
        <w:sz w:val="20"/>
        <w:szCs w:val="20"/>
      </w:rPr>
      <w:pgNum/>
    </w:r>
    <w:r>
      <w:rPr>
        <w:rFonts w:ascii="Arial" w:hAnsi="Arial" w:cs="Arial"/>
        <w:sz w:val="20"/>
        <w:szCs w:val="20"/>
      </w:rPr>
      <w:tab/>
      <w:t>Bullet-Resistant Steel Windows</w:t>
    </w:r>
  </w:p>
  <w:p w:rsidR="001B2DB9" w:rsidRDefault="00DF3615">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B336A5">
      <w:rPr>
        <w:rFonts w:ascii="Arial" w:hAnsi="Arial" w:cs="Arial"/>
        <w:sz w:val="20"/>
        <w:szCs w:val="2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B9" w:rsidRDefault="001B2DB9">
    <w:pPr>
      <w:widowControl/>
    </w:pPr>
  </w:p>
  <w:p w:rsidR="001B2DB9" w:rsidRDefault="00B336A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5671-</w:t>
    </w:r>
    <w:r>
      <w:rPr>
        <w:rFonts w:ascii="Arial" w:hAnsi="Arial" w:cs="Arial"/>
        <w:sz w:val="20"/>
        <w:szCs w:val="20"/>
      </w:rPr>
      <w:pgNum/>
    </w:r>
    <w:r>
      <w:rPr>
        <w:rFonts w:ascii="Arial" w:hAnsi="Arial" w:cs="Arial"/>
        <w:sz w:val="20"/>
        <w:szCs w:val="20"/>
      </w:rPr>
      <w:tab/>
      <w:t>Bullet-Resistant Steel Windows</w:t>
    </w:r>
  </w:p>
  <w:p w:rsidR="001B2DB9" w:rsidRDefault="00B336A5">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B9" w:rsidRDefault="001B2DB9">
    <w:pPr>
      <w:widowControl/>
    </w:pPr>
  </w:p>
  <w:p w:rsidR="001B2DB9" w:rsidRDefault="00B336A5">
    <w:pPr>
      <w:widowControl/>
      <w:tabs>
        <w:tab w:val="center" w:pos="5040"/>
        <w:tab w:val="right" w:pos="10078"/>
      </w:tabs>
      <w:rPr>
        <w:rFonts w:ascii="Arial" w:hAnsi="Arial" w:cs="Arial"/>
        <w:sz w:val="20"/>
        <w:szCs w:val="20"/>
      </w:rPr>
    </w:pPr>
    <w:r>
      <w:rPr>
        <w:rFonts w:ascii="Arial" w:hAnsi="Arial" w:cs="Arial"/>
        <w:sz w:val="20"/>
        <w:szCs w:val="20"/>
      </w:rPr>
      <w:t>Bullet-Resistant Steel Windows</w:t>
    </w:r>
    <w:r>
      <w:rPr>
        <w:rFonts w:ascii="Arial" w:hAnsi="Arial" w:cs="Arial"/>
        <w:sz w:val="20"/>
        <w:szCs w:val="20"/>
      </w:rPr>
      <w:tab/>
      <w:t>08 5671-</w:t>
    </w:r>
    <w:r>
      <w:rPr>
        <w:rFonts w:ascii="Arial" w:hAnsi="Arial" w:cs="Arial"/>
        <w:sz w:val="20"/>
        <w:szCs w:val="20"/>
      </w:rPr>
      <w:pgNum/>
    </w:r>
    <w:r>
      <w:rPr>
        <w:rFonts w:ascii="Arial" w:hAnsi="Arial" w:cs="Arial"/>
        <w:sz w:val="20"/>
        <w:szCs w:val="20"/>
      </w:rPr>
      <w:tab/>
      <w:t>ARMORTEX</w:t>
    </w:r>
  </w:p>
  <w:p w:rsidR="001B2DB9" w:rsidRDefault="00A54719">
    <w:pPr>
      <w:widowControl/>
      <w:tabs>
        <w:tab w:val="right" w:pos="10078"/>
      </w:tabs>
      <w:rPr>
        <w:rFonts w:ascii="Arial" w:hAnsi="Arial" w:cs="Arial"/>
        <w:sz w:val="20"/>
        <w:szCs w:val="20"/>
      </w:rPr>
    </w:pPr>
    <w:r>
      <w:rPr>
        <w:rFonts w:ascii="Arial" w:hAnsi="Arial" w:cs="Arial"/>
        <w:sz w:val="20"/>
        <w:szCs w:val="20"/>
      </w:rPr>
      <w:tab/>
      <w:t>08/31</w:t>
    </w:r>
    <w:r w:rsidR="00B336A5">
      <w:rPr>
        <w:rFonts w:ascii="Arial" w:hAnsi="Arial" w:cs="Arial"/>
        <w:sz w:val="20"/>
        <w:szCs w:val="20"/>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B9" w:rsidRDefault="001B2DB9">
    <w:pPr>
      <w:widowControl/>
    </w:pPr>
  </w:p>
  <w:p w:rsidR="001B2DB9" w:rsidRDefault="00B336A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5671-</w:t>
    </w:r>
    <w:r>
      <w:rPr>
        <w:rFonts w:ascii="Arial" w:hAnsi="Arial" w:cs="Arial"/>
        <w:sz w:val="20"/>
        <w:szCs w:val="20"/>
      </w:rPr>
      <w:pgNum/>
    </w:r>
    <w:r>
      <w:rPr>
        <w:rFonts w:ascii="Arial" w:hAnsi="Arial" w:cs="Arial"/>
        <w:sz w:val="20"/>
        <w:szCs w:val="20"/>
      </w:rPr>
      <w:tab/>
      <w:t>Bullet-Resistant Steel Windows</w:t>
    </w:r>
  </w:p>
  <w:p w:rsidR="001B2DB9" w:rsidRDefault="00A54719">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B336A5">
      <w:rPr>
        <w:rFonts w:ascii="Arial" w:hAnsi="Arial" w:cs="Arial"/>
        <w:sz w:val="20"/>
        <w:szCs w:val="20"/>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B9" w:rsidRDefault="001B2DB9">
    <w:pPr>
      <w:widowControl/>
    </w:pPr>
  </w:p>
  <w:p w:rsidR="001B2DB9" w:rsidRDefault="00B336A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5671-</w:t>
    </w:r>
    <w:r>
      <w:rPr>
        <w:rFonts w:ascii="Arial" w:hAnsi="Arial" w:cs="Arial"/>
        <w:sz w:val="20"/>
        <w:szCs w:val="20"/>
      </w:rPr>
      <w:pgNum/>
    </w:r>
    <w:r>
      <w:rPr>
        <w:rFonts w:ascii="Arial" w:hAnsi="Arial" w:cs="Arial"/>
        <w:sz w:val="20"/>
        <w:szCs w:val="20"/>
      </w:rPr>
      <w:tab/>
      <w:t>Bullet-Resistant Steel Windows</w:t>
    </w:r>
  </w:p>
  <w:p w:rsidR="001B2DB9" w:rsidRDefault="00B336A5">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BD3" w:rsidRDefault="00A27BD3">
      <w:r>
        <w:separator/>
      </w:r>
    </w:p>
  </w:footnote>
  <w:footnote w:type="continuationSeparator" w:id="0">
    <w:p w:rsidR="00A27BD3" w:rsidRDefault="00A27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F6BA2"/>
    <w:multiLevelType w:val="multilevel"/>
    <w:tmpl w:val="E7346B8A"/>
    <w:lvl w:ilvl="0">
      <w:start w:val="1"/>
      <w:numFmt w:val="decimal"/>
      <w:lvlText w:val="PART %1"/>
      <w:legacy w:legacy="1" w:legacySpace="0" w:legacyIndent="0"/>
      <w:lvlJc w:val="left"/>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 w15:restartNumberingAfterBreak="0">
    <w:nsid w:val="63197BE8"/>
    <w:multiLevelType w:val="multilevel"/>
    <w:tmpl w:val="1382B856"/>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C6"/>
    <w:rsid w:val="001B2DB9"/>
    <w:rsid w:val="001B35DA"/>
    <w:rsid w:val="0057644B"/>
    <w:rsid w:val="00A27BD3"/>
    <w:rsid w:val="00A54719"/>
    <w:rsid w:val="00B336A5"/>
    <w:rsid w:val="00BB29CA"/>
    <w:rsid w:val="00DF3615"/>
    <w:rsid w:val="00EE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BBA1503B-FF19-4888-A0F5-B2FAACE9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styleId="Hyperlink">
    <w:name w:val="Hyperlink"/>
    <w:basedOn w:val="DefaultParagraphFont"/>
    <w:uiPriority w:val="99"/>
    <w:rPr>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cs="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cs="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cs="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rPr>
  </w:style>
  <w:style w:type="character" w:styleId="Emphasis">
    <w:name w:val="Emphasis"/>
    <w:basedOn w:val="DefaultParagraphFont"/>
    <w:uiPriority w:val="99"/>
    <w:qFormat/>
    <w:rPr>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A54719"/>
    <w:pPr>
      <w:tabs>
        <w:tab w:val="center" w:pos="4680"/>
        <w:tab w:val="right" w:pos="9360"/>
      </w:tabs>
    </w:pPr>
  </w:style>
  <w:style w:type="character" w:customStyle="1" w:styleId="HeaderChar">
    <w:name w:val="Header Char"/>
    <w:basedOn w:val="DefaultParagraphFont"/>
    <w:link w:val="Header"/>
    <w:uiPriority w:val="99"/>
    <w:rsid w:val="00A547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pexplus.net" TargetMode="External"/><Relationship Id="rId12" Type="http://schemas.openxmlformats.org/officeDocument/2006/relationships/footer" Target="footer2.xml"/><Relationship Id="rId17" Type="http://schemas.openxmlformats.org/officeDocument/2006/relationships/hyperlink" Target="http://www.armortex.com" TargetMode="External"/><Relationship Id="rId2" Type="http://schemas.openxmlformats.org/officeDocument/2006/relationships/styles" Target="styles.xml"/><Relationship Id="rId16" Type="http://schemas.openxmlformats.org/officeDocument/2006/relationships/hyperlink" Target="http://www.ul.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tm.org" TargetMode="External"/><Relationship Id="rId10" Type="http://schemas.openxmlformats.org/officeDocument/2006/relationships/hyperlink" Target="http://www.armortex.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info@armortex.com" TargetMode="External"/><Relationship Id="rId14" Type="http://schemas.openxmlformats.org/officeDocument/2006/relationships/hyperlink" Target="http://www.aw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2015-08-04T18:32:00Z</dcterms:created>
  <dcterms:modified xsi:type="dcterms:W3CDTF">2015-08-31T18:58:00Z</dcterms:modified>
</cp:coreProperties>
</file>